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15" w:rsidRDefault="00EB4E15" w:rsidP="00EB4E15">
      <w:pPr>
        <w:spacing w:after="0" w:line="240" w:lineRule="auto"/>
      </w:pPr>
    </w:p>
    <w:p w:rsidR="00EB4E15" w:rsidRP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«</w:t>
      </w:r>
      <w:r w:rsidRPr="00EB4E15">
        <w:rPr>
          <w:rFonts w:ascii="Liberation Serif" w:hAnsi="Liberation Serif"/>
          <w:sz w:val="28"/>
          <w:szCs w:val="28"/>
        </w:rPr>
        <w:t xml:space="preserve">Предоставление </w:t>
      </w:r>
      <w:bookmarkStart w:id="0" w:name="_GoBack"/>
      <w:r w:rsidRPr="00EB4E15">
        <w:rPr>
          <w:rFonts w:ascii="Liberation Serif" w:hAnsi="Liberation Serif"/>
          <w:sz w:val="28"/>
          <w:szCs w:val="28"/>
        </w:rPr>
        <w:t xml:space="preserve">информации о порядке предоставления </w:t>
      </w:r>
      <w:bookmarkEnd w:id="0"/>
      <w:r w:rsidRPr="00EB4E15">
        <w:rPr>
          <w:rFonts w:ascii="Liberation Serif" w:hAnsi="Liberation Serif"/>
          <w:sz w:val="28"/>
          <w:szCs w:val="28"/>
        </w:rPr>
        <w:t>жилищно-коммунальных услуг населению</w:t>
      </w:r>
      <w:r w:rsidRPr="00EB4E15">
        <w:rPr>
          <w:rFonts w:ascii="Liberation Serif" w:hAnsi="Liberation Serif"/>
          <w:sz w:val="28"/>
          <w:szCs w:val="28"/>
        </w:rPr>
        <w:t>»</w:t>
      </w:r>
    </w:p>
    <w:p w:rsidR="00EB4E15" w:rsidRP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</w:p>
    <w:p w:rsidR="00EB4E15" w:rsidRDefault="00EB4E15" w:rsidP="00EB4E1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EB4E15" w:rsidRDefault="00EB4E15" w:rsidP="00EB4E1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Жилищ</w:t>
      </w:r>
      <w:r>
        <w:rPr>
          <w:rFonts w:ascii="Liberation Serif" w:hAnsi="Liberation Serif"/>
          <w:sz w:val="28"/>
          <w:szCs w:val="28"/>
        </w:rPr>
        <w:t xml:space="preserve">ный кодекс Российской Федерации </w:t>
      </w:r>
      <w:r w:rsidRPr="00EB4E15">
        <w:rPr>
          <w:rFonts w:ascii="Liberation Serif" w:hAnsi="Liberation Serif"/>
          <w:sz w:val="28"/>
          <w:szCs w:val="28"/>
        </w:rPr>
        <w:t>(«Собрание законодательства РФ», 03.01.2005, № 1 (часть 1), ст. 14)</w:t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</w:t>
      </w:r>
      <w:r w:rsidRPr="00EB4E15">
        <w:rPr>
          <w:rFonts w:ascii="Liberation Serif" w:hAnsi="Liberation Serif"/>
          <w:sz w:val="28"/>
          <w:szCs w:val="28"/>
        </w:rPr>
        <w:tab/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РФ», 16.02.2009, № 7, ст. 776)</w:t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</w:t>
      </w:r>
      <w:r w:rsidRPr="00EB4E15">
        <w:rPr>
          <w:rFonts w:ascii="Liberation Serif" w:hAnsi="Liberation Serif"/>
          <w:sz w:val="28"/>
          <w:szCs w:val="28"/>
        </w:rPr>
        <w:tab/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РФ», 30.05.2011, N 22, ст. 3168)</w:t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(«Собрание законодательства РФ», 29.05.2006, № 22, ст. 2338)</w:t>
      </w:r>
    </w:p>
    <w:p w:rsidR="00EB4E15" w:rsidRPr="00EB4E15" w:rsidRDefault="00EB4E15" w:rsidP="00EB4E1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B4E15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округа от 12.05.2014 № 605-ПА </w:t>
      </w:r>
      <w:r w:rsidRPr="00EB4E15">
        <w:rPr>
          <w:rFonts w:ascii="Liberation Serif" w:hAnsi="Liberation Serif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(«Артемовский рабочий», № 20, 16.05.2014)</w:t>
      </w:r>
    </w:p>
    <w:p w:rsidR="004B2D1B" w:rsidRPr="00EB4E15" w:rsidRDefault="004B2D1B" w:rsidP="00EB4E15">
      <w:pPr>
        <w:jc w:val="both"/>
        <w:rPr>
          <w:rFonts w:ascii="Liberation Serif" w:hAnsi="Liberation Serif"/>
          <w:sz w:val="28"/>
          <w:szCs w:val="28"/>
        </w:rPr>
      </w:pPr>
    </w:p>
    <w:sectPr w:rsidR="004B2D1B" w:rsidRPr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FB0"/>
    <w:multiLevelType w:val="hybridMultilevel"/>
    <w:tmpl w:val="F2765FBE"/>
    <w:lvl w:ilvl="0" w:tplc="4EDA9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C"/>
    <w:rsid w:val="004B2D1B"/>
    <w:rsid w:val="00E644AC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C08E-75D3-488A-AB14-F126C66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2020-08-19T04:14:00Z</dcterms:created>
  <dcterms:modified xsi:type="dcterms:W3CDTF">2020-08-19T04:14:00Z</dcterms:modified>
</cp:coreProperties>
</file>